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2F222" w14:textId="77777777" w:rsidR="009335A1" w:rsidRPr="009335A1" w:rsidRDefault="009335A1" w:rsidP="009335A1">
      <w:pPr>
        <w:pStyle w:val="NormalWeb"/>
        <w:rPr>
          <w:b/>
          <w:bCs/>
          <w:sz w:val="28"/>
          <w:szCs w:val="28"/>
        </w:rPr>
      </w:pPr>
      <w:r w:rsidRPr="009335A1">
        <w:rPr>
          <w:b/>
          <w:bCs/>
          <w:sz w:val="28"/>
          <w:szCs w:val="28"/>
        </w:rPr>
        <w:t>COVID-19 STATE UPDATE – DATA REPORTS, August 17, 2020</w:t>
      </w:r>
    </w:p>
    <w:p w14:paraId="544C9A62" w14:textId="50BD5529" w:rsidR="009335A1" w:rsidRDefault="009335A1" w:rsidP="009335A1">
      <w:pPr>
        <w:pStyle w:val="NormalWeb"/>
      </w:pPr>
      <w:r>
        <w:t xml:space="preserve">The Pennsylvania Department of Health confirmed </w:t>
      </w:r>
      <w:r>
        <w:t xml:space="preserve">that </w:t>
      </w:r>
      <w:r>
        <w:t xml:space="preserve">as of 12:00 a.m., August 18, that there </w:t>
      </w:r>
      <w:r>
        <w:t>we</w:t>
      </w:r>
      <w:r>
        <w:t>re 735 additional positive cases of COVID-19</w:t>
      </w:r>
      <w:r>
        <w:t xml:space="preserve"> reported</w:t>
      </w:r>
      <w:r>
        <w:t>, bringing the statewide total to 125,579</w:t>
      </w:r>
      <w:r>
        <w:t>.</w:t>
      </w:r>
      <w:r>
        <w:t xml:space="preserve"> Philadelphia reported 208 cases – a two-day total for August 17 and August 18.</w:t>
      </w:r>
    </w:p>
    <w:p w14:paraId="19CB7DFE" w14:textId="34926EB3" w:rsidR="009335A1" w:rsidRDefault="009335A1" w:rsidP="009335A1">
      <w:pPr>
        <w:pStyle w:val="NormalWeb"/>
      </w:pPr>
      <w:r>
        <w:t xml:space="preserve">The number of tests administered between August 11 and August 17 </w:t>
      </w:r>
      <w:r>
        <w:t>was</w:t>
      </w:r>
      <w:r>
        <w:t xml:space="preserve"> 162,293 with 5,992 positive cases. There were 18,926 test results reported to the department through 10 p.m., August 17. These results represent the total number of tests administered.</w:t>
      </w:r>
    </w:p>
    <w:p w14:paraId="2EAD2B54" w14:textId="64A08A11" w:rsidR="009335A1" w:rsidRDefault="009335A1" w:rsidP="009335A1">
      <w:pPr>
        <w:pStyle w:val="NormalWeb"/>
      </w:pPr>
      <w:r>
        <w:t xml:space="preserve">There </w:t>
      </w:r>
      <w:r>
        <w:t>have been</w:t>
      </w:r>
      <w:r>
        <w:t xml:space="preserve"> 7,499 total deaths </w:t>
      </w:r>
      <w:r>
        <w:t xml:space="preserve">of Pennsylvanians </w:t>
      </w:r>
      <w:r>
        <w:t xml:space="preserve">attributed to COVID-19, an increase of 31 new deaths reported. County-specific information and a statewide map are available on the </w:t>
      </w:r>
      <w:hyperlink r:id="rId5" w:tgtFrame="_blank" w:history="1">
        <w:r>
          <w:rPr>
            <w:rStyle w:val="Hyperlink"/>
          </w:rPr>
          <w:t xml:space="preserve">COVID-19 Data Dashboard. </w:t>
        </w:r>
      </w:hyperlink>
    </w:p>
    <w:p w14:paraId="4463F5E1" w14:textId="77777777" w:rsidR="009335A1" w:rsidRDefault="009335A1" w:rsidP="009335A1">
      <w:pPr>
        <w:pStyle w:val="NormalWeb"/>
      </w:pPr>
      <w:r>
        <w:t>“The mitigation efforts in place now are essential as the new school year approaches and we work to ensure our children can get back to learning,” Secretary of Health Dr. Rachel Levine said. “Wearing a mask, practicing social distancing, and following the requirements set forth in the orders for bars and restaurants, gatherings and telework will help keep our case counts low. Together, as Pennsylvanians, we each have a part to play in working to ensure that cases of COVID-19 remain low.”</w:t>
      </w:r>
    </w:p>
    <w:p w14:paraId="49DC93B3" w14:textId="77777777" w:rsidR="009335A1" w:rsidRDefault="009335A1" w:rsidP="009335A1">
      <w:pPr>
        <w:pStyle w:val="NormalWeb"/>
      </w:pPr>
      <w:r>
        <w:t>Mask-wearing is required in all businesses and whenever leaving home. Consistent mask-wearing is critical to preventing the spread of COVID-19.</w:t>
      </w:r>
    </w:p>
    <w:p w14:paraId="2E1B2780" w14:textId="77777777" w:rsidR="009335A1" w:rsidRDefault="009335A1" w:rsidP="009335A1">
      <w:pPr>
        <w:pStyle w:val="NormalWeb"/>
      </w:pPr>
      <w:r>
        <w:t>There are 644 patients who have a positive serology test and either COVID-19 symptoms or a high-risk exposure, which are considered probable cases and not confirmed cases. There are 1,353,987 patients who have tested negative to date. Of the patients who have tested positive to date the age breakdown is as follows:</w:t>
      </w:r>
    </w:p>
    <w:p w14:paraId="62C71B6F" w14:textId="77777777" w:rsidR="009335A1" w:rsidRDefault="009335A1" w:rsidP="009335A1">
      <w:pPr>
        <w:numPr>
          <w:ilvl w:val="0"/>
          <w:numId w:val="1"/>
        </w:numPr>
        <w:spacing w:before="100" w:beforeAutospacing="1" w:after="100" w:afterAutospacing="1"/>
      </w:pPr>
      <w:r>
        <w:t xml:space="preserve">1% are ages </w:t>
      </w:r>
      <w:proofErr w:type="gramStart"/>
      <w:r>
        <w:t>0-4;</w:t>
      </w:r>
      <w:proofErr w:type="gramEnd"/>
    </w:p>
    <w:p w14:paraId="0B746B89" w14:textId="77777777" w:rsidR="009335A1" w:rsidRDefault="009335A1" w:rsidP="009335A1">
      <w:pPr>
        <w:numPr>
          <w:ilvl w:val="0"/>
          <w:numId w:val="1"/>
        </w:numPr>
        <w:spacing w:before="100" w:beforeAutospacing="1" w:after="100" w:afterAutospacing="1"/>
      </w:pPr>
      <w:r>
        <w:t xml:space="preserve">1% are ages </w:t>
      </w:r>
      <w:proofErr w:type="gramStart"/>
      <w:r>
        <w:t>5-12;</w:t>
      </w:r>
      <w:proofErr w:type="gramEnd"/>
    </w:p>
    <w:p w14:paraId="0C4E2410" w14:textId="77777777" w:rsidR="009335A1" w:rsidRDefault="009335A1" w:rsidP="009335A1">
      <w:pPr>
        <w:numPr>
          <w:ilvl w:val="0"/>
          <w:numId w:val="1"/>
        </w:numPr>
        <w:spacing w:before="100" w:beforeAutospacing="1" w:after="100" w:afterAutospacing="1"/>
      </w:pPr>
      <w:r>
        <w:t xml:space="preserve">Nearly 4% are ages </w:t>
      </w:r>
      <w:proofErr w:type="gramStart"/>
      <w:r>
        <w:t>13-18;</w:t>
      </w:r>
      <w:proofErr w:type="gramEnd"/>
    </w:p>
    <w:p w14:paraId="2CCA439E" w14:textId="77777777" w:rsidR="009335A1" w:rsidRDefault="009335A1" w:rsidP="009335A1">
      <w:pPr>
        <w:numPr>
          <w:ilvl w:val="0"/>
          <w:numId w:val="1"/>
        </w:numPr>
        <w:spacing w:before="100" w:beforeAutospacing="1" w:after="100" w:afterAutospacing="1"/>
      </w:pPr>
      <w:r>
        <w:t xml:space="preserve">Nearly 10% are ages </w:t>
      </w:r>
      <w:proofErr w:type="gramStart"/>
      <w:r>
        <w:t>19-24;</w:t>
      </w:r>
      <w:proofErr w:type="gramEnd"/>
      <w:r>
        <w:t xml:space="preserve"> </w:t>
      </w:r>
    </w:p>
    <w:p w14:paraId="6690DB03" w14:textId="77777777" w:rsidR="009335A1" w:rsidRDefault="009335A1" w:rsidP="009335A1">
      <w:pPr>
        <w:numPr>
          <w:ilvl w:val="0"/>
          <w:numId w:val="1"/>
        </w:numPr>
        <w:spacing w:before="100" w:beforeAutospacing="1" w:after="100" w:afterAutospacing="1"/>
      </w:pPr>
      <w:r>
        <w:t xml:space="preserve">Nearly 38% are ages </w:t>
      </w:r>
      <w:proofErr w:type="gramStart"/>
      <w:r>
        <w:t>25-49;</w:t>
      </w:r>
      <w:proofErr w:type="gramEnd"/>
      <w:r>
        <w:t xml:space="preserve"> </w:t>
      </w:r>
    </w:p>
    <w:p w14:paraId="5E2F0164" w14:textId="77777777" w:rsidR="009335A1" w:rsidRDefault="009335A1" w:rsidP="009335A1">
      <w:pPr>
        <w:numPr>
          <w:ilvl w:val="0"/>
          <w:numId w:val="1"/>
        </w:numPr>
        <w:spacing w:before="100" w:beforeAutospacing="1" w:after="100" w:afterAutospacing="1"/>
      </w:pPr>
      <w:r>
        <w:t>Nearly 23% are ages 50-64; and</w:t>
      </w:r>
    </w:p>
    <w:p w14:paraId="4C554A78" w14:textId="77777777" w:rsidR="009335A1" w:rsidRDefault="009335A1" w:rsidP="009335A1">
      <w:pPr>
        <w:numPr>
          <w:ilvl w:val="0"/>
          <w:numId w:val="1"/>
        </w:numPr>
        <w:spacing w:before="100" w:beforeAutospacing="1" w:after="100" w:afterAutospacing="1"/>
      </w:pPr>
      <w:r>
        <w:t>Nearly 24% are ages 65 or older.</w:t>
      </w:r>
    </w:p>
    <w:p w14:paraId="7F16C212" w14:textId="77777777" w:rsidR="009335A1" w:rsidRDefault="009335A1" w:rsidP="009335A1">
      <w:pPr>
        <w:pStyle w:val="NormalWeb"/>
      </w:pPr>
      <w:r>
        <w:t xml:space="preserve">Most of the patients hospitalized are ages 65 or older, and most of the deaths have occurred in patients 65 or older. More data is available </w:t>
      </w:r>
      <w:hyperlink r:id="rId6" w:tgtFrame="_blank" w:history="1">
        <w:r>
          <w:rPr>
            <w:rStyle w:val="Hyperlink"/>
          </w:rPr>
          <w:t>here.</w:t>
        </w:r>
      </w:hyperlink>
    </w:p>
    <w:p w14:paraId="27201CA2" w14:textId="0B253566" w:rsidR="009335A1" w:rsidRDefault="009335A1" w:rsidP="009335A1">
      <w:pPr>
        <w:pStyle w:val="NormalWeb"/>
      </w:pPr>
      <w:r>
        <w:t xml:space="preserve">The department </w:t>
      </w:r>
      <w:r>
        <w:t xml:space="preserve">reported </w:t>
      </w:r>
      <w:r>
        <w:t>seeing significant increases in the number of COVID-19 cases among younger age groups, particularly 19 to 24-year-olds.</w:t>
      </w:r>
      <w:r w:rsidRPr="009335A1">
        <w:t xml:space="preserve"> An alert was sent to healthcare providers</w:t>
      </w:r>
      <w:r>
        <w:t xml:space="preserve"> about the changing COVID-19 case demographics</w:t>
      </w:r>
      <w:r>
        <w:t xml:space="preserve"> in July</w:t>
      </w:r>
      <w:r>
        <w:t>, as there are more cases in younger age groups than in those 50-64 and 65+. The following regions saw significant increases among 19 to 24-year-olds in each month from April to present in August:</w:t>
      </w:r>
    </w:p>
    <w:p w14:paraId="15F74281" w14:textId="77777777" w:rsidR="009335A1" w:rsidRDefault="009335A1" w:rsidP="009335A1">
      <w:pPr>
        <w:numPr>
          <w:ilvl w:val="0"/>
          <w:numId w:val="2"/>
        </w:numPr>
        <w:spacing w:before="100" w:beforeAutospacing="1" w:after="100" w:afterAutospacing="1"/>
      </w:pPr>
      <w:r>
        <w:t xml:space="preserve">SE – Nearly 5 percent of cases in April to nearly 17 percent of cases so far in </w:t>
      </w:r>
      <w:proofErr w:type="gramStart"/>
      <w:r>
        <w:t>August;</w:t>
      </w:r>
      <w:proofErr w:type="gramEnd"/>
    </w:p>
    <w:p w14:paraId="49BF0590" w14:textId="77777777" w:rsidR="009335A1" w:rsidRDefault="009335A1" w:rsidP="009335A1">
      <w:pPr>
        <w:numPr>
          <w:ilvl w:val="0"/>
          <w:numId w:val="2"/>
        </w:numPr>
        <w:spacing w:before="100" w:beforeAutospacing="1" w:after="100" w:afterAutospacing="1"/>
      </w:pPr>
      <w:r>
        <w:t xml:space="preserve">NE – 6 percent of cases in April to nearly 17 percent of cases so far in </w:t>
      </w:r>
      <w:proofErr w:type="gramStart"/>
      <w:r>
        <w:t>August;</w:t>
      </w:r>
      <w:proofErr w:type="gramEnd"/>
    </w:p>
    <w:p w14:paraId="40452FB7" w14:textId="77777777" w:rsidR="009335A1" w:rsidRDefault="009335A1" w:rsidP="009335A1">
      <w:pPr>
        <w:numPr>
          <w:ilvl w:val="0"/>
          <w:numId w:val="2"/>
        </w:numPr>
        <w:spacing w:before="100" w:beforeAutospacing="1" w:after="100" w:afterAutospacing="1"/>
      </w:pPr>
      <w:r>
        <w:lastRenderedPageBreak/>
        <w:t xml:space="preserve">SW – Approximately 5 percent of cases in April to nearly 12 percent of cases so far in </w:t>
      </w:r>
      <w:proofErr w:type="gramStart"/>
      <w:r>
        <w:t>August;</w:t>
      </w:r>
      <w:proofErr w:type="gramEnd"/>
    </w:p>
    <w:p w14:paraId="3944677B" w14:textId="77777777" w:rsidR="009335A1" w:rsidRDefault="009335A1" w:rsidP="009335A1">
      <w:pPr>
        <w:numPr>
          <w:ilvl w:val="0"/>
          <w:numId w:val="2"/>
        </w:numPr>
        <w:spacing w:before="100" w:beforeAutospacing="1" w:after="100" w:afterAutospacing="1"/>
      </w:pPr>
      <w:r>
        <w:t xml:space="preserve">SC – Approximately 7 percent of cases in April to nearly 12 percent of cases so far in </w:t>
      </w:r>
      <w:proofErr w:type="gramStart"/>
      <w:r>
        <w:t>August;</w:t>
      </w:r>
      <w:proofErr w:type="gramEnd"/>
    </w:p>
    <w:p w14:paraId="1042B806" w14:textId="77777777" w:rsidR="009335A1" w:rsidRDefault="009335A1" w:rsidP="009335A1">
      <w:pPr>
        <w:numPr>
          <w:ilvl w:val="0"/>
          <w:numId w:val="2"/>
        </w:numPr>
        <w:spacing w:before="100" w:beforeAutospacing="1" w:after="100" w:afterAutospacing="1"/>
      </w:pPr>
      <w:r>
        <w:t>NW</w:t>
      </w:r>
      <w:r>
        <w:rPr>
          <w:rStyle w:val="Strong"/>
        </w:rPr>
        <w:t xml:space="preserve"> </w:t>
      </w:r>
      <w:r>
        <w:t>– Nearly 7 percent of cases in April to nearly 10 percent of cases so far in August; and</w:t>
      </w:r>
    </w:p>
    <w:p w14:paraId="6A9A6597" w14:textId="77777777" w:rsidR="009335A1" w:rsidRDefault="009335A1" w:rsidP="009335A1">
      <w:pPr>
        <w:numPr>
          <w:ilvl w:val="0"/>
          <w:numId w:val="2"/>
        </w:numPr>
        <w:spacing w:before="100" w:beforeAutospacing="1" w:after="100" w:afterAutospacing="1"/>
      </w:pPr>
      <w:r>
        <w:t>NC – Approximately 7 percent of cases in April to nearly 9 percent of cases so far in August.</w:t>
      </w:r>
    </w:p>
    <w:p w14:paraId="40384086" w14:textId="10C5A7BE" w:rsidR="009335A1" w:rsidRDefault="009335A1" w:rsidP="009335A1">
      <w:pPr>
        <w:pStyle w:val="NormalWeb"/>
      </w:pPr>
      <w:r>
        <w:t>In nursing and personal care homes, there are 20,444 resident cases of COVID-19, and 4,261 cases among employees, for a total of 24,705 at 899 distinct facilities in</w:t>
      </w:r>
      <w:r>
        <w:rPr>
          <w:rStyle w:val="Strong"/>
        </w:rPr>
        <w:t xml:space="preserve"> </w:t>
      </w:r>
      <w:r>
        <w:t xml:space="preserve">61 counties. Out of our total deaths, 5,064 have occurred in residents from nursing or personal care facilities. A county breakdown can be found </w:t>
      </w:r>
      <w:hyperlink r:id="rId7" w:tgtFrame="_blank" w:history="1">
        <w:r>
          <w:rPr>
            <w:rStyle w:val="Hyperlink"/>
          </w:rPr>
          <w:t>here.</w:t>
        </w:r>
      </w:hyperlink>
      <w:r>
        <w:t xml:space="preserve">  On Monday, August 17, the Department put out additional information on precautions to be used in nursing homes.</w:t>
      </w:r>
    </w:p>
    <w:p w14:paraId="49103962" w14:textId="77777777" w:rsidR="009335A1" w:rsidRDefault="009335A1" w:rsidP="009335A1">
      <w:pPr>
        <w:pStyle w:val="NormalWeb"/>
      </w:pPr>
      <w:r>
        <w:t>Approximately 8,997 of our total cases are amongst health care workers.</w:t>
      </w:r>
    </w:p>
    <w:p w14:paraId="0E76433D" w14:textId="77777777" w:rsidR="009335A1" w:rsidRDefault="009335A1" w:rsidP="009335A1">
      <w:pPr>
        <w:pStyle w:val="NormalWeb"/>
      </w:pPr>
      <w:r>
        <w:t xml:space="preserve">For the latest information for individuals, families, businesses and schools, visit “Responding to COVID-19” on </w:t>
      </w:r>
      <w:hyperlink r:id="rId8" w:tgtFrame="_blank" w:history="1">
        <w:r>
          <w:rPr>
            <w:rStyle w:val="Hyperlink"/>
          </w:rPr>
          <w:t>pa.gov.</w:t>
        </w:r>
      </w:hyperlink>
    </w:p>
    <w:p w14:paraId="69FE3E72" w14:textId="77777777" w:rsidR="009335A1" w:rsidRDefault="009335A1" w:rsidP="009335A1">
      <w:pPr>
        <w:pStyle w:val="NormalWeb"/>
      </w:pPr>
      <w:r>
        <w:t>Currently, all 67 counties are in the green phase of reopening.</w:t>
      </w:r>
    </w:p>
    <w:p w14:paraId="32C37208" w14:textId="77777777" w:rsidR="00554C98" w:rsidRDefault="00554C98"/>
    <w:sectPr w:rsidR="00554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336F3"/>
    <w:multiLevelType w:val="multilevel"/>
    <w:tmpl w:val="A6D81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037625"/>
    <w:multiLevelType w:val="multilevel"/>
    <w:tmpl w:val="6A34E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A1"/>
    <w:rsid w:val="00554C98"/>
    <w:rsid w:val="0093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D5BA"/>
  <w15:chartTrackingRefBased/>
  <w15:docId w15:val="{E4B3E57A-41C8-43EE-B905-0988D1D5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5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5A1"/>
    <w:rPr>
      <w:color w:val="0000FF"/>
      <w:u w:val="single"/>
    </w:rPr>
  </w:style>
  <w:style w:type="paragraph" w:styleId="NormalWeb">
    <w:name w:val="Normal (Web)"/>
    <w:basedOn w:val="Normal"/>
    <w:uiPriority w:val="99"/>
    <w:semiHidden/>
    <w:unhideWhenUsed/>
    <w:rsid w:val="009335A1"/>
    <w:pPr>
      <w:spacing w:before="100" w:beforeAutospacing="1" w:after="100" w:afterAutospacing="1"/>
    </w:pPr>
  </w:style>
  <w:style w:type="character" w:styleId="Strong">
    <w:name w:val="Strong"/>
    <w:basedOn w:val="DefaultParagraphFont"/>
    <w:uiPriority w:val="22"/>
    <w:qFormat/>
    <w:rsid w:val="00933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6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gov/" TargetMode="External"/><Relationship Id="rId3" Type="http://schemas.openxmlformats.org/officeDocument/2006/relationships/settings" Target="settings.xml"/><Relationship Id="rId7" Type="http://schemas.openxmlformats.org/officeDocument/2006/relationships/hyperlink" Target="https://www.health.pa.gov/topics/disease/coronavirus/Pages/LTCF-Dat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pa.gov/topics/disease/coronavirus/Pages/Cases.aspx" TargetMode="External"/><Relationship Id="rId5" Type="http://schemas.openxmlformats.org/officeDocument/2006/relationships/hyperlink" Target="https://www.health.pa.gov/topics/disease/coronavirus/Pages/Case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Nikoloff</dc:creator>
  <cp:keywords/>
  <dc:description/>
  <cp:lastModifiedBy>John Nikoloff</cp:lastModifiedBy>
  <cp:revision>1</cp:revision>
  <dcterms:created xsi:type="dcterms:W3CDTF">2020-08-18T16:25:00Z</dcterms:created>
  <dcterms:modified xsi:type="dcterms:W3CDTF">2020-08-18T16:31:00Z</dcterms:modified>
</cp:coreProperties>
</file>